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heme="minorEastAsia" w:hAnsiTheme="minorEastAsia"/>
          <w:b/>
          <w:bCs/>
          <w:sz w:val="36"/>
          <w:szCs w:val="36"/>
          <w:highlight w:val="none"/>
          <w:lang w:val="en-US" w:eastAsia="zh-CN"/>
        </w:rPr>
      </w:pPr>
      <w:r>
        <w:rPr>
          <w:rFonts w:hint="eastAsia" w:asciiTheme="minorEastAsia" w:hAnsiTheme="minorEastAsia"/>
          <w:b/>
          <w:bCs/>
          <w:sz w:val="36"/>
          <w:szCs w:val="36"/>
          <w:highlight w:val="none"/>
          <w:lang w:val="en-US" w:eastAsia="zh-CN"/>
        </w:rPr>
        <w:t>动车组和机车牵引与控制国家重点实验室</w:t>
      </w:r>
    </w:p>
    <w:p>
      <w:pPr>
        <w:numPr>
          <w:ilvl w:val="0"/>
          <w:numId w:val="0"/>
        </w:numPr>
        <w:spacing w:line="360" w:lineRule="auto"/>
        <w:jc w:val="center"/>
        <w:rPr>
          <w:rFonts w:hint="default" w:asciiTheme="minorEastAsia" w:hAnsiTheme="minorEastAsia"/>
          <w:b/>
          <w:bCs/>
          <w:sz w:val="36"/>
          <w:szCs w:val="36"/>
          <w:highlight w:val="none"/>
          <w:lang w:val="en-US" w:eastAsia="zh-CN"/>
        </w:rPr>
      </w:pPr>
      <w:r>
        <w:rPr>
          <w:rFonts w:hint="eastAsia" w:asciiTheme="minorEastAsia" w:hAnsiTheme="minorEastAsia"/>
          <w:b/>
          <w:bCs/>
          <w:sz w:val="36"/>
          <w:szCs w:val="36"/>
          <w:highlight w:val="none"/>
          <w:lang w:val="en-US" w:eastAsia="zh-CN"/>
        </w:rPr>
        <w:t>2019年度开放课题申请指南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300" w:beforeAutospacing="0" w:after="0" w:afterAutospacing="0" w:line="570" w:lineRule="atLeast"/>
        <w:ind w:left="0" w:right="0" w:firstLine="0"/>
        <w:jc w:val="center"/>
        <w:rPr>
          <w:rFonts w:ascii="Arial" w:hAnsi="Arial" w:cs="Arial"/>
          <w:b/>
          <w:i w:val="0"/>
          <w:caps w:val="0"/>
          <w:color w:val="004276"/>
          <w:spacing w:val="0"/>
          <w:sz w:val="30"/>
          <w:szCs w:val="30"/>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DFDFD"/>
        <w:snapToGrid w:val="0"/>
        <w:spacing w:before="0" w:beforeAutospacing="0" w:after="0" w:afterAutospacing="0" w:line="360" w:lineRule="auto"/>
        <w:ind w:left="0" w:right="0" w:firstLine="560" w:firstLineChars="200"/>
        <w:jc w:val="left"/>
        <w:rPr>
          <w:rFonts w:hint="eastAsia" w:asciiTheme="minorEastAsia" w:hAnsiTheme="minorEastAsia" w:cstheme="minorBidi"/>
          <w:i w:val="0"/>
          <w:caps w:val="0"/>
          <w:color w:val="333333"/>
          <w:spacing w:val="0"/>
          <w:sz w:val="28"/>
          <w:szCs w:val="28"/>
          <w:highlight w:val="none"/>
        </w:rPr>
      </w:pPr>
      <w:r>
        <w:rPr>
          <w:rFonts w:hint="eastAsia" w:asciiTheme="minorEastAsia" w:hAnsiTheme="minorEastAsia" w:cstheme="minorBidi"/>
          <w:i w:val="0"/>
          <w:caps w:val="0"/>
          <w:color w:val="333333"/>
          <w:spacing w:val="0"/>
          <w:sz w:val="28"/>
          <w:szCs w:val="28"/>
          <w:highlight w:val="none"/>
          <w:shd w:val="clear" w:fill="FDFDFD"/>
        </w:rPr>
        <w:t>为促进学术交流，动车组和机车牵引与控制国家重点实验室(以下简称：实验室)面向国内外开放，实验室根据研究方向设置开放基金和课题，积极吸引国内外优秀科技工作者到实验室从事研究工作，同时鼓励重点实验室固定研究人员与国内外同行联合申报各级各类课题，积极开展国内外学术交流与科技合作，充分发挥开放运行专项经费的作用，凝聚和培养科技人才，实验室根据相关领域科学发展趋势和需求，结合实验室</w:t>
      </w:r>
      <w:r>
        <w:rPr>
          <w:rFonts w:hint="eastAsia" w:asciiTheme="minorEastAsia" w:hAnsiTheme="minorEastAsia" w:cstheme="minorBidi"/>
          <w:i w:val="0"/>
          <w:caps w:val="0"/>
          <w:color w:val="333333"/>
          <w:spacing w:val="0"/>
          <w:sz w:val="28"/>
          <w:szCs w:val="28"/>
          <w:highlight w:val="none"/>
          <w:shd w:val="clear" w:fill="FDFDFD"/>
          <w:lang w:val="en-US" w:eastAsia="zh-CN"/>
        </w:rPr>
        <w:t>研究工作</w:t>
      </w:r>
      <w:r>
        <w:rPr>
          <w:rFonts w:hint="eastAsia" w:asciiTheme="minorEastAsia" w:hAnsiTheme="minorEastAsia" w:cstheme="minorBidi"/>
          <w:i w:val="0"/>
          <w:caps w:val="0"/>
          <w:color w:val="333333"/>
          <w:spacing w:val="0"/>
          <w:sz w:val="28"/>
          <w:szCs w:val="28"/>
          <w:highlight w:val="none"/>
          <w:shd w:val="clear" w:fill="FDFDFD"/>
        </w:rPr>
        <w:t>规划，设立开放研究基金，</w:t>
      </w:r>
      <w:r>
        <w:rPr>
          <w:rFonts w:hint="eastAsia" w:asciiTheme="minorEastAsia" w:hAnsiTheme="minorEastAsia" w:cstheme="minorBidi"/>
          <w:i w:val="0"/>
          <w:caps w:val="0"/>
          <w:color w:val="333333"/>
          <w:spacing w:val="0"/>
          <w:sz w:val="28"/>
          <w:szCs w:val="28"/>
          <w:highlight w:val="none"/>
          <w:shd w:val="clear" w:fill="FDFDFD"/>
          <w:lang w:val="en-US" w:eastAsia="zh-CN"/>
        </w:rPr>
        <w:t>发布</w:t>
      </w:r>
      <w:r>
        <w:rPr>
          <w:rFonts w:hint="eastAsia" w:asciiTheme="minorEastAsia" w:hAnsiTheme="minorEastAsia" w:cstheme="minorBidi"/>
          <w:i w:val="0"/>
          <w:caps w:val="0"/>
          <w:color w:val="333333"/>
          <w:spacing w:val="0"/>
          <w:sz w:val="28"/>
          <w:szCs w:val="28"/>
          <w:highlight w:val="none"/>
          <w:shd w:val="clear" w:fill="FDFDFD"/>
        </w:rPr>
        <w:t>2019年度开放课题申请指南。</w:t>
      </w:r>
    </w:p>
    <w:p>
      <w:pPr>
        <w:spacing w:before="156" w:beforeLines="50" w:after="156" w:afterLines="50" w:line="360" w:lineRule="auto"/>
        <w:jc w:val="left"/>
        <w:rPr>
          <w:rFonts w:hint="eastAsia" w:ascii="黑体" w:hAnsi="黑体" w:eastAsia="黑体"/>
          <w:sz w:val="28"/>
          <w:szCs w:val="28"/>
        </w:rPr>
      </w:pPr>
      <w:r>
        <w:rPr>
          <w:rFonts w:hint="eastAsia" w:ascii="黑体" w:hAnsi="黑体" w:eastAsia="黑体"/>
          <w:sz w:val="28"/>
          <w:szCs w:val="28"/>
        </w:rPr>
        <w:t>一、实验室简介</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DFDFD"/>
        <w:snapToGrid w:val="0"/>
        <w:spacing w:before="0" w:beforeAutospacing="0" w:after="0" w:afterAutospacing="0" w:line="360" w:lineRule="auto"/>
        <w:ind w:left="0" w:right="0" w:firstLine="560" w:firstLineChars="200"/>
        <w:jc w:val="left"/>
        <w:rPr>
          <w:rFonts w:hint="eastAsia" w:asciiTheme="minorEastAsia" w:hAnsiTheme="minorEastAsia" w:cstheme="minorBidi"/>
          <w:i w:val="0"/>
          <w:caps w:val="0"/>
          <w:color w:val="333333"/>
          <w:spacing w:val="0"/>
          <w:sz w:val="28"/>
          <w:szCs w:val="28"/>
          <w:highlight w:val="none"/>
        </w:rPr>
      </w:pPr>
      <w:r>
        <w:rPr>
          <w:rFonts w:hint="eastAsia" w:asciiTheme="minorEastAsia" w:hAnsiTheme="minorEastAsia" w:cstheme="minorBidi"/>
          <w:i w:val="0"/>
          <w:caps w:val="0"/>
          <w:color w:val="333333"/>
          <w:spacing w:val="0"/>
          <w:sz w:val="28"/>
          <w:szCs w:val="28"/>
          <w:highlight w:val="none"/>
          <w:shd w:val="clear" w:fill="FDFDFD"/>
        </w:rPr>
        <w:t>动车组和机车牵引与控制国家重点实验室于20</w:t>
      </w:r>
      <w:r>
        <w:rPr>
          <w:rFonts w:hint="eastAsia" w:asciiTheme="minorEastAsia" w:hAnsiTheme="minorEastAsia" w:cstheme="minorBidi"/>
          <w:i w:val="0"/>
          <w:caps w:val="0"/>
          <w:spacing w:val="0"/>
          <w:sz w:val="28"/>
          <w:szCs w:val="28"/>
          <w:highlight w:val="none"/>
          <w:shd w:val="clear"/>
          <w:lang w:eastAsia="zh-CN"/>
        </w:rPr>
        <w:t>1</w:t>
      </w:r>
      <w:r>
        <w:rPr>
          <w:rFonts w:hint="eastAsia" w:asciiTheme="minorEastAsia" w:hAnsiTheme="minorEastAsia" w:cstheme="minorBidi"/>
          <w:i w:val="0"/>
          <w:caps w:val="0"/>
          <w:spacing w:val="0"/>
          <w:sz w:val="28"/>
          <w:szCs w:val="28"/>
          <w:highlight w:val="none"/>
          <w:shd w:val="clear"/>
          <w:lang w:val="en-US" w:eastAsia="zh-CN"/>
        </w:rPr>
        <w:t>1</w:t>
      </w:r>
      <w:r>
        <w:rPr>
          <w:rFonts w:hint="eastAsia" w:asciiTheme="minorEastAsia" w:hAnsiTheme="minorEastAsia" w:cstheme="minorBidi"/>
          <w:i w:val="0"/>
          <w:caps w:val="0"/>
          <w:color w:val="333333"/>
          <w:spacing w:val="0"/>
          <w:sz w:val="28"/>
          <w:szCs w:val="28"/>
          <w:highlight w:val="none"/>
          <w:shd w:val="clear" w:fill="FDFDFD"/>
        </w:rPr>
        <w:t>年</w:t>
      </w:r>
      <w:r>
        <w:rPr>
          <w:rFonts w:hint="eastAsia" w:asciiTheme="minorEastAsia" w:hAnsiTheme="minorEastAsia" w:cstheme="minorBidi"/>
          <w:i w:val="0"/>
          <w:caps w:val="0"/>
          <w:spacing w:val="0"/>
          <w:sz w:val="28"/>
          <w:szCs w:val="28"/>
          <w:highlight w:val="none"/>
          <w:shd w:val="clear"/>
          <w:lang w:val="en-US" w:eastAsia="zh-CN"/>
        </w:rPr>
        <w:t>开始</w:t>
      </w:r>
      <w:r>
        <w:rPr>
          <w:rFonts w:hint="eastAsia" w:asciiTheme="minorEastAsia" w:hAnsiTheme="minorEastAsia" w:cstheme="minorBidi"/>
          <w:i w:val="0"/>
          <w:caps w:val="0"/>
          <w:color w:val="333333"/>
          <w:spacing w:val="0"/>
          <w:sz w:val="28"/>
          <w:szCs w:val="28"/>
          <w:highlight w:val="none"/>
          <w:shd w:val="clear" w:fill="FDFDFD"/>
        </w:rPr>
        <w:t>建设，201</w:t>
      </w:r>
      <w:r>
        <w:rPr>
          <w:rFonts w:hint="eastAsia" w:asciiTheme="minorEastAsia" w:hAnsiTheme="minorEastAsia" w:cstheme="minorBidi"/>
          <w:i w:val="0"/>
          <w:caps w:val="0"/>
          <w:spacing w:val="0"/>
          <w:sz w:val="28"/>
          <w:szCs w:val="28"/>
          <w:highlight w:val="none"/>
          <w:shd w:val="clear"/>
          <w:lang w:eastAsia="zh-CN"/>
        </w:rPr>
        <w:t>6</w:t>
      </w:r>
      <w:r>
        <w:rPr>
          <w:rFonts w:hint="eastAsia" w:asciiTheme="minorEastAsia" w:hAnsiTheme="minorEastAsia" w:cstheme="minorBidi"/>
          <w:i w:val="0"/>
          <w:caps w:val="0"/>
          <w:color w:val="333333"/>
          <w:spacing w:val="0"/>
          <w:sz w:val="28"/>
          <w:szCs w:val="28"/>
          <w:highlight w:val="none"/>
          <w:shd w:val="clear" w:fill="FDFDFD"/>
        </w:rPr>
        <w:t>年</w:t>
      </w:r>
      <w:r>
        <w:rPr>
          <w:rFonts w:hint="eastAsia" w:asciiTheme="minorEastAsia" w:hAnsiTheme="minorEastAsia" w:cstheme="minorBidi"/>
          <w:i w:val="0"/>
          <w:caps w:val="0"/>
          <w:spacing w:val="0"/>
          <w:sz w:val="28"/>
          <w:szCs w:val="28"/>
          <w:highlight w:val="none"/>
          <w:shd w:val="clear"/>
          <w:lang w:eastAsia="zh-CN"/>
        </w:rPr>
        <w:t>4</w:t>
      </w:r>
      <w:r>
        <w:rPr>
          <w:rFonts w:hint="eastAsia" w:asciiTheme="minorEastAsia" w:hAnsiTheme="minorEastAsia" w:cstheme="minorBidi"/>
          <w:i w:val="0"/>
          <w:caps w:val="0"/>
          <w:color w:val="333333"/>
          <w:spacing w:val="0"/>
          <w:sz w:val="28"/>
          <w:szCs w:val="28"/>
          <w:highlight w:val="none"/>
          <w:shd w:val="clear" w:fill="FDFDFD"/>
        </w:rPr>
        <w:t>月通过科技部验收，主管部门为中国铁路总公司</w:t>
      </w:r>
      <w:r>
        <w:rPr>
          <w:rFonts w:hint="eastAsia" w:asciiTheme="minorEastAsia" w:hAnsiTheme="minorEastAsia" w:cstheme="minorBidi"/>
          <w:i w:val="0"/>
          <w:caps w:val="0"/>
          <w:spacing w:val="0"/>
          <w:sz w:val="28"/>
          <w:szCs w:val="28"/>
          <w:highlight w:val="none"/>
          <w:shd w:val="clear"/>
          <w:lang w:val="en-US" w:eastAsia="zh-CN"/>
        </w:rPr>
        <w:t>和国务院国有资产管理委员会</w:t>
      </w:r>
      <w:r>
        <w:rPr>
          <w:rFonts w:hint="eastAsia" w:asciiTheme="minorEastAsia" w:hAnsiTheme="minorEastAsia" w:cstheme="minorBidi"/>
          <w:i w:val="0"/>
          <w:caps w:val="0"/>
          <w:color w:val="333333"/>
          <w:spacing w:val="0"/>
          <w:sz w:val="28"/>
          <w:szCs w:val="28"/>
          <w:highlight w:val="none"/>
          <w:shd w:val="clear" w:fill="FDFDFD"/>
        </w:rPr>
        <w:t>，依托单位为中国铁道科学研究院</w:t>
      </w:r>
      <w:r>
        <w:rPr>
          <w:rFonts w:hint="eastAsia" w:asciiTheme="minorEastAsia" w:hAnsiTheme="minorEastAsia" w:cstheme="minorBidi"/>
          <w:i w:val="0"/>
          <w:caps w:val="0"/>
          <w:spacing w:val="0"/>
          <w:sz w:val="28"/>
          <w:szCs w:val="28"/>
          <w:highlight w:val="none"/>
          <w:shd w:val="clear"/>
          <w:lang w:val="en-US" w:eastAsia="zh-CN"/>
        </w:rPr>
        <w:t>集团有限公司和中国中车股份有限公司</w:t>
      </w:r>
      <w:r>
        <w:rPr>
          <w:rFonts w:hint="eastAsia" w:asciiTheme="minorEastAsia" w:hAnsiTheme="minorEastAsia" w:cstheme="minorBidi"/>
          <w:i w:val="0"/>
          <w:caps w:val="0"/>
          <w:color w:val="333333"/>
          <w:spacing w:val="0"/>
          <w:sz w:val="28"/>
          <w:szCs w:val="28"/>
          <w:highlight w:val="none"/>
          <w:shd w:val="clear" w:fill="FDFDFD"/>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DFDFD"/>
        <w:snapToGrid w:val="0"/>
        <w:spacing w:before="0" w:beforeAutospacing="0" w:after="0" w:afterAutospacing="0" w:line="360" w:lineRule="auto"/>
        <w:ind w:left="0" w:right="0" w:firstLine="560" w:firstLineChars="200"/>
        <w:jc w:val="left"/>
        <w:rPr>
          <w:rFonts w:hint="eastAsia" w:asciiTheme="minorEastAsia" w:hAnsiTheme="minorEastAsia" w:cstheme="minorBidi"/>
          <w:i w:val="0"/>
          <w:caps w:val="0"/>
          <w:color w:val="333333"/>
          <w:spacing w:val="0"/>
          <w:sz w:val="28"/>
          <w:szCs w:val="28"/>
          <w:highlight w:val="none"/>
        </w:rPr>
      </w:pPr>
      <w:r>
        <w:rPr>
          <w:rFonts w:hint="eastAsia" w:asciiTheme="minorEastAsia" w:hAnsiTheme="minorEastAsia" w:cstheme="minorBidi"/>
          <w:i w:val="0"/>
          <w:caps w:val="0"/>
          <w:spacing w:val="0"/>
          <w:sz w:val="28"/>
          <w:szCs w:val="28"/>
          <w:highlight w:val="none"/>
          <w:shd w:val="clear"/>
        </w:rPr>
        <w:t>动车组和机车牵引与控制国家重点实验室</w:t>
      </w:r>
      <w:r>
        <w:rPr>
          <w:rFonts w:hint="eastAsia" w:asciiTheme="minorEastAsia" w:hAnsiTheme="minorEastAsia" w:cstheme="minorBidi"/>
          <w:i w:val="0"/>
          <w:caps w:val="0"/>
          <w:spacing w:val="0"/>
          <w:sz w:val="28"/>
          <w:szCs w:val="28"/>
          <w:highlight w:val="none"/>
          <w:shd w:val="clear"/>
          <w:lang w:val="en-US" w:eastAsia="zh-CN"/>
        </w:rPr>
        <w:t>是为了系统开展动车组和机车牵引与控制技术方面的应用基础理论、技术开发和试验研究，促进我国动车组和机车牵引与控制成套技术及装备的自主创新，实现对牵引控制技术领域创新成果的集成应用，加上研究成果向生产力转化，建立健全具有自主知识产权的技术标准体系，打造</w:t>
      </w:r>
      <w:r>
        <w:rPr>
          <w:rFonts w:hint="eastAsia" w:asciiTheme="minorEastAsia" w:hAnsiTheme="minorEastAsia" w:cstheme="minorBidi"/>
          <w:i w:val="0"/>
          <w:caps w:val="0"/>
          <w:color w:val="333333"/>
          <w:spacing w:val="0"/>
          <w:sz w:val="28"/>
          <w:szCs w:val="28"/>
          <w:highlight w:val="none"/>
          <w:shd w:val="clear" w:fill="FDFDFD"/>
        </w:rPr>
        <w:t>具有世界一流水平的国家级科技创新平台。</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DFDFD"/>
        <w:snapToGrid w:val="0"/>
        <w:spacing w:before="0" w:beforeAutospacing="0" w:after="0" w:afterAutospacing="0" w:line="360" w:lineRule="auto"/>
        <w:ind w:left="0" w:right="0" w:firstLine="560" w:firstLineChars="200"/>
        <w:jc w:val="left"/>
        <w:rPr>
          <w:rFonts w:hint="eastAsia" w:asciiTheme="minorEastAsia" w:hAnsiTheme="minorEastAsia" w:cstheme="minorBidi"/>
          <w:i w:val="0"/>
          <w:caps w:val="0"/>
          <w:color w:val="333333"/>
          <w:spacing w:val="0"/>
          <w:sz w:val="28"/>
          <w:szCs w:val="28"/>
          <w:highlight w:val="none"/>
        </w:rPr>
      </w:pPr>
      <w:r>
        <w:rPr>
          <w:rFonts w:hint="eastAsia" w:asciiTheme="minorEastAsia" w:hAnsiTheme="minorEastAsia" w:cstheme="minorBidi"/>
          <w:i w:val="0"/>
          <w:caps w:val="0"/>
          <w:color w:val="333333"/>
          <w:spacing w:val="0"/>
          <w:sz w:val="28"/>
          <w:szCs w:val="28"/>
          <w:highlight w:val="none"/>
          <w:shd w:val="clear" w:fill="FDFDFD"/>
        </w:rPr>
        <w:t>实验室具体情况可实地考察或电话咨询。</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DFDFD"/>
        <w:snapToGrid w:val="0"/>
        <w:spacing w:before="0" w:beforeAutospacing="0" w:after="0" w:afterAutospacing="0" w:line="360" w:lineRule="auto"/>
        <w:ind w:left="0" w:right="0" w:firstLine="560" w:firstLineChars="200"/>
        <w:jc w:val="left"/>
        <w:rPr>
          <w:rFonts w:hint="eastAsia" w:asciiTheme="minorEastAsia" w:hAnsiTheme="minorEastAsia" w:cstheme="minorBidi"/>
          <w:b w:val="0"/>
          <w:i w:val="0"/>
          <w:caps w:val="0"/>
          <w:color w:val="333333"/>
          <w:spacing w:val="0"/>
          <w:sz w:val="28"/>
          <w:szCs w:val="28"/>
          <w:highlight w:val="none"/>
        </w:rPr>
      </w:pPr>
      <w:r>
        <w:rPr>
          <w:rFonts w:hint="eastAsia" w:asciiTheme="minorEastAsia" w:hAnsiTheme="minorEastAsia" w:cstheme="minorBidi"/>
          <w:b w:val="0"/>
          <w:i w:val="0"/>
          <w:caps w:val="0"/>
          <w:color w:val="333333"/>
          <w:spacing w:val="0"/>
          <w:sz w:val="28"/>
          <w:szCs w:val="28"/>
          <w:highlight w:val="none"/>
          <w:shd w:val="clear" w:fill="FDFDFD"/>
        </w:rPr>
        <w:t>二、开放课题主要资助的研究方向与内容</w:t>
      </w:r>
    </w:p>
    <w:p>
      <w:pPr>
        <w:snapToGrid w:val="0"/>
        <w:spacing w:line="360" w:lineRule="auto"/>
        <w:ind w:firstLine="560" w:firstLineChars="200"/>
        <w:jc w:val="left"/>
        <w:rPr>
          <w:rFonts w:hint="eastAsia" w:asciiTheme="minorEastAsia" w:hAnsiTheme="minorEastAsia" w:eastAsiaTheme="minorEastAsia"/>
          <w:b w:val="0"/>
          <w:bCs w:val="0"/>
          <w:sz w:val="28"/>
          <w:szCs w:val="28"/>
          <w:highlight w:val="none"/>
          <w:lang w:eastAsia="zh-CN"/>
        </w:rPr>
      </w:pPr>
      <w:r>
        <w:rPr>
          <w:rFonts w:hint="eastAsia" w:asciiTheme="minorEastAsia" w:hAnsiTheme="minorEastAsia"/>
          <w:b/>
          <w:bCs/>
          <w:sz w:val="28"/>
          <w:szCs w:val="28"/>
          <w:highlight w:val="none"/>
          <w:lang w:val="en-US" w:eastAsia="zh-CN"/>
        </w:rPr>
        <w:t>课题一：</w:t>
      </w:r>
      <w:bookmarkStart w:id="0" w:name="OLE_LINK2"/>
      <w:r>
        <w:rPr>
          <w:rFonts w:hint="eastAsia" w:asciiTheme="minorEastAsia" w:hAnsiTheme="minorEastAsia"/>
          <w:b/>
          <w:bCs/>
          <w:sz w:val="28"/>
          <w:szCs w:val="28"/>
          <w:highlight w:val="none"/>
          <w:lang w:val="en-US" w:eastAsia="zh-CN"/>
        </w:rPr>
        <w:t>列车</w:t>
      </w:r>
      <w:r>
        <w:rPr>
          <w:rFonts w:hint="eastAsia" w:asciiTheme="minorEastAsia" w:hAnsiTheme="minorEastAsia"/>
          <w:b/>
          <w:bCs/>
          <w:sz w:val="28"/>
          <w:szCs w:val="28"/>
          <w:highlight w:val="none"/>
        </w:rPr>
        <w:t>牵引控制系统</w:t>
      </w:r>
      <w:r>
        <w:rPr>
          <w:rFonts w:hint="eastAsia" w:asciiTheme="minorEastAsia" w:hAnsiTheme="minorEastAsia"/>
          <w:b/>
          <w:bCs/>
          <w:sz w:val="28"/>
          <w:szCs w:val="28"/>
          <w:highlight w:val="none"/>
          <w:lang w:val="en-US" w:eastAsia="zh-CN"/>
        </w:rPr>
        <w:t>核心芯片国产化</w:t>
      </w:r>
      <w:r>
        <w:rPr>
          <w:rFonts w:hint="eastAsia" w:asciiTheme="minorEastAsia" w:hAnsiTheme="minorEastAsia"/>
          <w:b/>
          <w:bCs/>
          <w:sz w:val="28"/>
          <w:szCs w:val="28"/>
          <w:highlight w:val="none"/>
        </w:rPr>
        <w:t>替代研究</w:t>
      </w:r>
      <w:bookmarkEnd w:id="0"/>
    </w:p>
    <w:p>
      <w:pPr>
        <w:snapToGrid w:val="0"/>
        <w:spacing w:line="360" w:lineRule="auto"/>
        <w:ind w:firstLine="560" w:firstLineChars="200"/>
        <w:jc w:val="left"/>
        <w:rPr>
          <w:rFonts w:hint="eastAsia" w:asciiTheme="minorEastAsia" w:hAnsiTheme="minorEastAsia"/>
          <w:sz w:val="28"/>
          <w:szCs w:val="28"/>
          <w:highlight w:val="none"/>
        </w:rPr>
      </w:pPr>
      <w:r>
        <w:rPr>
          <w:rFonts w:hint="eastAsia" w:asciiTheme="minorEastAsia" w:hAnsiTheme="minorEastAsia"/>
          <w:sz w:val="28"/>
          <w:szCs w:val="28"/>
          <w:highlight w:val="none"/>
        </w:rPr>
        <w:t>课题简介：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牵引控制</w:t>
      </w:r>
      <w:r>
        <w:rPr>
          <w:rFonts w:hint="eastAsia" w:asciiTheme="minorEastAsia" w:hAnsiTheme="minorEastAsia"/>
          <w:sz w:val="28"/>
          <w:szCs w:val="28"/>
          <w:highlight w:val="none"/>
          <w:lang w:val="en-US" w:eastAsia="zh-CN"/>
        </w:rPr>
        <w:t>系统</w:t>
      </w:r>
      <w:r>
        <w:rPr>
          <w:rFonts w:hint="eastAsia" w:asciiTheme="minorEastAsia" w:hAnsiTheme="minorEastAsia"/>
          <w:sz w:val="28"/>
          <w:szCs w:val="28"/>
          <w:highlight w:val="none"/>
        </w:rPr>
        <w:t>是动车组</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地铁</w:t>
      </w:r>
      <w:r>
        <w:rPr>
          <w:rFonts w:hint="eastAsia" w:asciiTheme="minorEastAsia" w:hAnsiTheme="minorEastAsia"/>
          <w:sz w:val="28"/>
          <w:szCs w:val="28"/>
          <w:highlight w:val="none"/>
        </w:rPr>
        <w:t>和机车</w:t>
      </w:r>
      <w:r>
        <w:rPr>
          <w:rFonts w:hint="eastAsia" w:asciiTheme="minorEastAsia" w:hAnsiTheme="minorEastAsia"/>
          <w:sz w:val="28"/>
          <w:szCs w:val="28"/>
          <w:highlight w:val="none"/>
          <w:lang w:val="en-US" w:eastAsia="zh-CN"/>
        </w:rPr>
        <w:t>等</w:t>
      </w:r>
      <w:r>
        <w:rPr>
          <w:rFonts w:hint="eastAsia" w:asciiTheme="minorEastAsia" w:hAnsiTheme="minorEastAsia"/>
          <w:sz w:val="28"/>
          <w:szCs w:val="28"/>
          <w:highlight w:val="none"/>
        </w:rPr>
        <w:t>牵引系统的“大脑”，其复杂任务的实现有赖于诸多电子器件通过硬件和软件的配合协调，包括DSP和FPGA及其编译软件、存储器、通信芯片、转换器等。但当前几乎所有的核心芯片都采用进口产品，而且大部分</w:t>
      </w:r>
      <w:r>
        <w:rPr>
          <w:rFonts w:hint="eastAsia" w:asciiTheme="minorEastAsia" w:hAnsiTheme="minorEastAsia"/>
          <w:sz w:val="28"/>
          <w:szCs w:val="28"/>
          <w:highlight w:val="none"/>
          <w:lang w:val="en-US" w:eastAsia="zh-CN"/>
        </w:rPr>
        <w:t>受制于</w:t>
      </w:r>
      <w:r>
        <w:rPr>
          <w:rFonts w:hint="eastAsia" w:asciiTheme="minorEastAsia" w:hAnsiTheme="minorEastAsia"/>
          <w:sz w:val="28"/>
          <w:szCs w:val="28"/>
          <w:highlight w:val="none"/>
        </w:rPr>
        <w:t>美国公司。</w:t>
      </w:r>
      <w:r>
        <w:rPr>
          <w:rFonts w:hint="eastAsia" w:asciiTheme="minorEastAsia" w:hAnsiTheme="minorEastAsia"/>
          <w:sz w:val="28"/>
          <w:szCs w:val="28"/>
          <w:highlight w:val="none"/>
          <w:lang w:val="en-US" w:eastAsia="zh-CN"/>
        </w:rPr>
        <w:t>课题将通过深入调研</w:t>
      </w:r>
      <w:r>
        <w:rPr>
          <w:rFonts w:hint="eastAsia" w:asciiTheme="minorEastAsia" w:hAnsiTheme="minorEastAsia"/>
          <w:sz w:val="28"/>
          <w:szCs w:val="28"/>
          <w:highlight w:val="none"/>
        </w:rPr>
        <w:t>对国产化核心芯片的技术状态及应用情况形成总体认识</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初步形成基于国产芯片的牵引控制系统完全自主可控替代的技术路线，为建立基于国产化芯片的牵引控制系统开发平台提供技术支撑。</w:t>
      </w:r>
    </w:p>
    <w:p>
      <w:pPr>
        <w:spacing w:line="360" w:lineRule="auto"/>
        <w:jc w:val="left"/>
        <w:rPr>
          <w:rFonts w:asciiTheme="minorEastAsia" w:hAnsiTheme="minorEastAsia"/>
          <w:sz w:val="28"/>
          <w:szCs w:val="28"/>
          <w:highlight w:val="none"/>
        </w:rPr>
      </w:pPr>
      <w:r>
        <w:rPr>
          <w:rFonts w:hint="eastAsia" w:asciiTheme="minorEastAsia" w:hAnsiTheme="minorEastAsia"/>
          <w:sz w:val="28"/>
          <w:szCs w:val="28"/>
          <w:highlight w:val="none"/>
        </w:rPr>
        <w:t>研究内容：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（1）行业内牵引控制系统核心芯片使用情况调研；</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（2）国内同类芯片的研制、生产、应用情况和替代可行性调研；</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（3）完全自主可控替代方案和技术路线研究</w:t>
      </w:r>
      <w:r>
        <w:rPr>
          <w:rFonts w:hint="eastAsia" w:asciiTheme="minorEastAsia" w:hAnsiTheme="minorEastAsia"/>
          <w:sz w:val="28"/>
          <w:szCs w:val="28"/>
          <w:highlight w:val="none"/>
          <w:lang w:eastAsia="zh-CN"/>
        </w:rPr>
        <w:t>。</w:t>
      </w:r>
    </w:p>
    <w:p>
      <w:pPr>
        <w:spacing w:line="360" w:lineRule="auto"/>
        <w:jc w:val="left"/>
        <w:rPr>
          <w:rFonts w:hint="eastAsia" w:asciiTheme="minorEastAsia" w:hAnsiTheme="minorEastAsia"/>
          <w:sz w:val="28"/>
          <w:szCs w:val="28"/>
          <w:highlight w:val="none"/>
        </w:rPr>
      </w:pPr>
      <w:r>
        <w:rPr>
          <w:rFonts w:hint="eastAsia" w:asciiTheme="minorEastAsia" w:hAnsiTheme="minorEastAsia"/>
          <w:sz w:val="28"/>
          <w:szCs w:val="28"/>
          <w:highlight w:val="none"/>
        </w:rPr>
        <w:t>提交成果：</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w:t>
      </w:r>
      <w:r>
        <w:rPr>
          <w:rFonts w:hint="eastAsia"/>
          <w:sz w:val="28"/>
          <w:szCs w:val="28"/>
          <w:highlight w:val="none"/>
          <w:lang w:eastAsia="zh-CN"/>
        </w:rPr>
        <w:t>发表</w:t>
      </w:r>
      <w:r>
        <w:rPr>
          <w:rFonts w:hint="eastAsia"/>
          <w:sz w:val="28"/>
          <w:szCs w:val="28"/>
          <w:highlight w:val="none"/>
          <w:lang w:val="en-US" w:eastAsia="zh-CN"/>
        </w:rPr>
        <w:t>中文核心期刊论文1篇</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rPr>
        <w:t>（2）</w:t>
      </w:r>
      <w:r>
        <w:rPr>
          <w:rFonts w:hint="eastAsia" w:asciiTheme="minorEastAsia" w:hAnsiTheme="minorEastAsia"/>
          <w:sz w:val="28"/>
          <w:szCs w:val="28"/>
          <w:highlight w:val="none"/>
          <w:lang w:val="en-US" w:eastAsia="zh-CN"/>
        </w:rPr>
        <w:t>调研报告1份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（3）</w:t>
      </w:r>
      <w:r>
        <w:rPr>
          <w:rFonts w:hint="eastAsia" w:asciiTheme="minorEastAsia" w:hAnsiTheme="minorEastAsia"/>
          <w:sz w:val="28"/>
          <w:szCs w:val="28"/>
          <w:highlight w:val="none"/>
          <w:lang w:val="en-US" w:eastAsia="zh-CN"/>
        </w:rPr>
        <w:t>研究报告1份</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left"/>
        <w:textAlignment w:val="auto"/>
        <w:rPr>
          <w:rFonts w:hint="default"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课题经费额度：不超过30万元</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b w:val="0"/>
          <w:bCs w:val="0"/>
          <w:sz w:val="28"/>
          <w:szCs w:val="28"/>
          <w:highlight w:val="none"/>
          <w:lang w:val="en-US" w:eastAsia="zh-CN"/>
        </w:rPr>
      </w:pPr>
      <w:r>
        <w:rPr>
          <w:rFonts w:hint="eastAsia" w:asciiTheme="minorEastAsia" w:hAnsiTheme="minorEastAsia"/>
          <w:b w:val="0"/>
          <w:bCs w:val="0"/>
          <w:sz w:val="28"/>
          <w:szCs w:val="28"/>
          <w:highlight w:val="none"/>
          <w:lang w:val="en-US" w:eastAsia="zh-CN"/>
        </w:rPr>
        <w:t xml:space="preserve">计划年限：1年 </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b w:val="0"/>
          <w:bCs w:val="0"/>
          <w:sz w:val="28"/>
          <w:szCs w:val="28"/>
          <w:highlight w:val="none"/>
          <w:lang w:val="en-US" w:eastAsia="zh-CN"/>
        </w:rPr>
      </w:pPr>
    </w:p>
    <w:p>
      <w:pPr>
        <w:numPr>
          <w:ilvl w:val="0"/>
          <w:numId w:val="0"/>
        </w:numPr>
        <w:spacing w:line="360" w:lineRule="auto"/>
        <w:jc w:val="left"/>
        <w:rPr>
          <w:rFonts w:hint="eastAsia" w:asciiTheme="minorEastAsia" w:hAnsiTheme="minorEastAsia" w:eastAsiaTheme="minorEastAsia"/>
          <w:b/>
          <w:bCs/>
          <w:sz w:val="28"/>
          <w:szCs w:val="28"/>
          <w:highlight w:val="none"/>
          <w:lang w:eastAsia="zh-CN"/>
        </w:rPr>
      </w:pPr>
      <w:r>
        <w:rPr>
          <w:rFonts w:hint="eastAsia" w:asciiTheme="minorEastAsia" w:hAnsiTheme="minorEastAsia"/>
          <w:b/>
          <w:bCs/>
          <w:sz w:val="28"/>
          <w:szCs w:val="28"/>
          <w:highlight w:val="none"/>
        </w:rPr>
        <w:t>课题</w:t>
      </w:r>
      <w:r>
        <w:rPr>
          <w:rFonts w:hint="eastAsia" w:asciiTheme="minorEastAsia" w:hAnsiTheme="minorEastAsia"/>
          <w:b/>
          <w:bCs/>
          <w:sz w:val="28"/>
          <w:szCs w:val="28"/>
          <w:highlight w:val="none"/>
          <w:lang w:val="en-US" w:eastAsia="zh-CN"/>
        </w:rPr>
        <w:t>二</w:t>
      </w:r>
      <w:r>
        <w:rPr>
          <w:rFonts w:hint="eastAsia" w:asciiTheme="minorEastAsia" w:hAnsiTheme="minorEastAsia"/>
          <w:b/>
          <w:bCs/>
          <w:sz w:val="28"/>
          <w:szCs w:val="28"/>
          <w:highlight w:val="none"/>
        </w:rPr>
        <w:t>：</w:t>
      </w:r>
      <w:r>
        <w:rPr>
          <w:rFonts w:hint="eastAsia" w:asciiTheme="minorEastAsia" w:hAnsiTheme="minorEastAsia"/>
          <w:b/>
          <w:bCs/>
          <w:sz w:val="28"/>
          <w:szCs w:val="28"/>
          <w:highlight w:val="none"/>
          <w:lang w:eastAsia="zh-CN"/>
        </w:rPr>
        <w:t>列车网络控制单元安全</w:t>
      </w:r>
      <w:bookmarkStart w:id="2" w:name="_GoBack"/>
      <w:bookmarkEnd w:id="2"/>
      <w:r>
        <w:rPr>
          <w:rFonts w:hint="eastAsia" w:asciiTheme="minorEastAsia" w:hAnsiTheme="minorEastAsia"/>
          <w:b/>
          <w:bCs/>
          <w:sz w:val="28"/>
          <w:szCs w:val="28"/>
          <w:highlight w:val="none"/>
          <w:lang w:eastAsia="zh-CN"/>
        </w:rPr>
        <w:t>冗余机制研究</w:t>
      </w:r>
    </w:p>
    <w:p>
      <w:pPr>
        <w:spacing w:line="360" w:lineRule="auto"/>
        <w:jc w:val="left"/>
        <w:rPr>
          <w:rFonts w:hint="eastAsia" w:asciiTheme="minorEastAsia" w:hAnsiTheme="minorEastAsia"/>
          <w:sz w:val="28"/>
          <w:szCs w:val="28"/>
          <w:highlight w:val="none"/>
        </w:rPr>
      </w:pPr>
      <w:r>
        <w:rPr>
          <w:rFonts w:hint="eastAsia" w:asciiTheme="minorEastAsia" w:hAnsiTheme="minorEastAsia"/>
          <w:sz w:val="28"/>
          <w:szCs w:val="28"/>
          <w:highlight w:val="none"/>
        </w:rPr>
        <w:t>课题简介：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列车网络控制系统主要实现重要设备的控制管理、运行信息采集、运行状态的监视和故障诊断，从而保证列车安全可靠的运行。随着列车网络技术发展，要求其主控单元具有较高的安全性和可靠性。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在铁路领域，安全冗余技术为铁路安全提供了良好的保障，它以控制灵活、信息丰富、便于储存的优点和多机冗余、自动纠错、抗干扰设计等新型技术而越来越赢得人们的青睐，正在逐步成为铁路运输和城市轨道交通中的首选方案。为了拓展网络控制单元的应用范围，急需研究适用于列车网络控制单元部件的安全机制和冗余方案，以满足未来更高列车网络安全要求。</w:t>
      </w:r>
    </w:p>
    <w:p>
      <w:pPr>
        <w:spacing w:line="360" w:lineRule="auto"/>
        <w:jc w:val="left"/>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研究内容：</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技术调研及可行性分析：调研铁路领域安全冗余技术应用情况，分析列车网络控制单元采用安全冗余技术的可行性。</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lang w:eastAsia="zh-CN"/>
        </w:rPr>
        <w:t>）总体方案研究：根据列车实际需求以及对可靠性和安全性的需求，设计适用于网络控制单元关键部件的安全冗余方案。</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lang w:eastAsia="zh-CN"/>
        </w:rPr>
        <w:t>）关键技术研究：研究网络控制单元部件相关的安全冗余关键技术。</w:t>
      </w:r>
    </w:p>
    <w:p>
      <w:pPr>
        <w:spacing w:line="360" w:lineRule="auto"/>
        <w:jc w:val="left"/>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提交成果：</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lang w:eastAsia="zh-CN"/>
        </w:rPr>
        <w:t>）完成控制单元冗余研究报告1份</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lang w:eastAsia="zh-CN"/>
        </w:rPr>
        <w:t>）发表</w:t>
      </w:r>
      <w:bookmarkStart w:id="1" w:name="OLE_LINK3"/>
      <w:r>
        <w:rPr>
          <w:rFonts w:hint="eastAsia" w:asciiTheme="minorEastAsia" w:hAnsiTheme="minorEastAsia"/>
          <w:sz w:val="28"/>
          <w:szCs w:val="28"/>
          <w:highlight w:val="none"/>
          <w:lang w:eastAsia="zh-CN"/>
        </w:rPr>
        <w:t>EI检索论文</w:t>
      </w:r>
      <w:bookmarkEnd w:id="1"/>
      <w:r>
        <w:rPr>
          <w:rFonts w:hint="eastAsia" w:asciiTheme="minorEastAsia" w:hAnsiTheme="minorEastAsia"/>
          <w:sz w:val="28"/>
          <w:szCs w:val="28"/>
          <w:highlight w:val="none"/>
          <w:lang w:val="en-US" w:eastAsia="zh-CN"/>
        </w:rPr>
        <w:t>1篇</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left"/>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课题经费额度：不超过30万元</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jc w:val="left"/>
        <w:textAlignment w:val="auto"/>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计划年限：2年</w:t>
      </w:r>
    </w:p>
    <w:p>
      <w:pPr>
        <w:spacing w:line="360" w:lineRule="auto"/>
        <w:rPr>
          <w:sz w:val="28"/>
          <w:szCs w:val="28"/>
          <w:highlight w:val="none"/>
        </w:rPr>
      </w:pPr>
    </w:p>
    <w:p>
      <w:pPr>
        <w:spacing w:line="360" w:lineRule="auto"/>
        <w:jc w:val="left"/>
        <w:rPr>
          <w:rFonts w:hint="eastAsia" w:asciiTheme="minorEastAsia" w:hAnsiTheme="minorEastAsia"/>
          <w:sz w:val="28"/>
          <w:szCs w:val="28"/>
          <w:highlight w:val="none"/>
        </w:rPr>
      </w:pPr>
      <w:r>
        <w:rPr>
          <w:rFonts w:hint="eastAsia" w:asciiTheme="minorEastAsia" w:hAnsiTheme="minorEastAsia"/>
          <w:b/>
          <w:bCs/>
          <w:sz w:val="28"/>
          <w:szCs w:val="28"/>
          <w:highlight w:val="none"/>
          <w:lang w:eastAsia="zh-CN"/>
        </w:rPr>
        <w:t>课题</w:t>
      </w:r>
      <w:r>
        <w:rPr>
          <w:rFonts w:hint="eastAsia" w:asciiTheme="minorEastAsia" w:hAnsiTheme="minorEastAsia"/>
          <w:b/>
          <w:bCs/>
          <w:sz w:val="28"/>
          <w:szCs w:val="28"/>
          <w:highlight w:val="none"/>
          <w:lang w:val="en-US" w:eastAsia="zh-CN"/>
        </w:rPr>
        <w:t>三</w:t>
      </w:r>
      <w:r>
        <w:rPr>
          <w:rFonts w:hint="eastAsia" w:asciiTheme="minorEastAsia" w:hAnsiTheme="minorEastAsia"/>
          <w:b/>
          <w:bCs/>
          <w:sz w:val="28"/>
          <w:szCs w:val="28"/>
          <w:highlight w:val="none"/>
          <w:lang w:eastAsia="zh-CN"/>
        </w:rPr>
        <w:t>：轨道车辆电气设备在高海拔环境下绝缘性能、电气间隙研究</w:t>
      </w:r>
      <w:r>
        <w:rPr>
          <w:rFonts w:hint="eastAsia" w:asciiTheme="minorEastAsia" w:hAnsiTheme="minorEastAsia"/>
          <w:sz w:val="28"/>
          <w:szCs w:val="28"/>
          <w:highlight w:val="none"/>
        </w:rPr>
        <w:t>课题简介：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轨道车辆的电气设备主要采用气体或有机材料作为绝缘介质。我国是世界上高原最为广阔的地区，海拔 2000m 以上的高原为国土面积的 33%。高海拔地区的特点主要是气压低、气温低且日变化大、太阳辐射强等，对轨道车辆电气设备运行有以下几方面影响：外绝缘放电电压和电晕起始电压降低、机电设备运行温度升高、绝缘介质和密封性加速劣化等，使得轨道车辆电气设备在的高海拔地区的安全运行面临新的挑战。高海拔的低气压导致空气介电强度下降，因而引起电气设备绝缘耐压水平降低；同时，使得以空气作为灭弧介质的开关电器灭弧性能和关合、开断能力下降。空气密度减小使得以空气为冷却介质的自然对流散热效率下降，牵引电机等绕组设备运行温度将会增加，这些因素都会加速绝缘材料的老化和损伤。综上所述，在进行工程设计时不能完全套用低海拔地区的试验结果，研究高海拔环境下的绝缘放电特性对于轨道车辆电气设备的安全运行具有重要意义。</w:t>
      </w:r>
    </w:p>
    <w:p>
      <w:pPr>
        <w:spacing w:line="360" w:lineRule="auto"/>
        <w:jc w:val="left"/>
        <w:rPr>
          <w:rFonts w:asciiTheme="minorEastAsia" w:hAnsiTheme="minorEastAsia"/>
          <w:sz w:val="28"/>
          <w:szCs w:val="28"/>
          <w:highlight w:val="none"/>
        </w:rPr>
      </w:pPr>
      <w:r>
        <w:rPr>
          <w:rFonts w:hint="eastAsia" w:asciiTheme="minorEastAsia" w:hAnsiTheme="minorEastAsia"/>
          <w:sz w:val="28"/>
          <w:szCs w:val="28"/>
          <w:highlight w:val="none"/>
        </w:rPr>
        <w:t>研究内容：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（1）高海拔环境下电气设备外绝缘放电规律和机理研究</w:t>
      </w:r>
      <w:r>
        <w:rPr>
          <w:rFonts w:hint="eastAsia" w:asciiTheme="minorEastAsia" w:hAnsi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（2）高海拔环境下大气参数对轨道车辆电气设备（内部）绝缘介质气隙放电电压的影响机理研究</w:t>
      </w:r>
      <w:r>
        <w:rPr>
          <w:rFonts w:hint="eastAsia" w:asciiTheme="minorEastAsia" w:hAnsi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（3）高海拔环境下轨道车辆电气设备绝缘性能、电气间隙关键参数研究</w:t>
      </w:r>
      <w:r>
        <w:rPr>
          <w:rFonts w:hint="eastAsia" w:asciiTheme="minorEastAsia" w:hAnsi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（4）重点研究海拔高度4000m以上的轨道车辆电气设备电气外绝缘系数、介质气隙放电电压、爬电距离的海拔修正方法</w:t>
      </w:r>
      <w:r>
        <w:rPr>
          <w:rFonts w:hint="eastAsia" w:asciiTheme="minorEastAsia" w:hAnsiTheme="minorEastAsia"/>
          <w:sz w:val="28"/>
          <w:szCs w:val="28"/>
          <w:highlight w:val="none"/>
          <w:lang w:eastAsia="zh-CN"/>
        </w:rPr>
        <w:t>。</w:t>
      </w:r>
    </w:p>
    <w:p>
      <w:pPr>
        <w:spacing w:line="360" w:lineRule="auto"/>
        <w:jc w:val="left"/>
        <w:rPr>
          <w:rFonts w:asciiTheme="minorEastAsia" w:hAnsiTheme="minorEastAsia"/>
          <w:sz w:val="28"/>
          <w:szCs w:val="28"/>
          <w:highlight w:val="none"/>
        </w:rPr>
      </w:pPr>
      <w:r>
        <w:rPr>
          <w:rFonts w:hint="eastAsia" w:asciiTheme="minorEastAsia" w:hAnsiTheme="minorEastAsia"/>
          <w:sz w:val="28"/>
          <w:szCs w:val="28"/>
          <w:highlight w:val="none"/>
        </w:rPr>
        <w:t>提交成果：</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w:t>
      </w:r>
      <w:r>
        <w:rPr>
          <w:rFonts w:hint="eastAsia"/>
          <w:sz w:val="28"/>
          <w:szCs w:val="28"/>
          <w:highlight w:val="none"/>
          <w:lang w:eastAsia="zh-CN"/>
        </w:rPr>
        <w:t>发表SCI</w:t>
      </w:r>
      <w:r>
        <w:rPr>
          <w:rFonts w:hint="eastAsia"/>
          <w:sz w:val="28"/>
          <w:szCs w:val="28"/>
          <w:highlight w:val="none"/>
          <w:lang w:val="en-US" w:eastAsia="zh-CN"/>
        </w:rPr>
        <w:t>或</w:t>
      </w:r>
      <w:r>
        <w:rPr>
          <w:rFonts w:hint="eastAsia"/>
          <w:sz w:val="28"/>
          <w:szCs w:val="28"/>
          <w:highlight w:val="none"/>
          <w:lang w:eastAsia="zh-CN"/>
        </w:rPr>
        <w:t>EI检索论文</w:t>
      </w:r>
      <w:r>
        <w:rPr>
          <w:rFonts w:hint="eastAsia"/>
          <w:sz w:val="28"/>
          <w:szCs w:val="28"/>
          <w:highlight w:val="none"/>
          <w:lang w:val="en-US" w:eastAsia="zh-CN"/>
        </w:rPr>
        <w:t>1篇</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轨道车辆电气设备在高海拔环境下的绝缘放电规律和机理研究报告</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rPr>
        <w:t>）高海拔环境下大气参数对轨道车辆电气设备（内部）绝缘介质气隙放电电压的影响机理研究报告</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4</w:t>
      </w:r>
      <w:r>
        <w:rPr>
          <w:rFonts w:hint="eastAsia" w:asciiTheme="minorEastAsia" w:hAnsiTheme="minorEastAsia"/>
          <w:sz w:val="28"/>
          <w:szCs w:val="28"/>
          <w:highlight w:val="none"/>
        </w:rPr>
        <w:t>）高海拔环境下轨道车辆电气设备绝缘性能、电气间隙关键参数研究报告</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份</w:t>
      </w:r>
    </w:p>
    <w:p>
      <w:pPr>
        <w:spacing w:line="360" w:lineRule="auto"/>
        <w:jc w:val="left"/>
        <w:rPr>
          <w:rFonts w:asciiTheme="minorEastAsia" w:hAnsiTheme="minorEastAsia"/>
          <w:sz w:val="28"/>
          <w:szCs w:val="28"/>
          <w:highlight w:val="none"/>
        </w:rPr>
      </w:pPr>
      <w:r>
        <w:rPr>
          <w:rFonts w:hint="eastAsia" w:asciiTheme="minorEastAsia" w:hAnsiTheme="minorEastAsia"/>
          <w:sz w:val="28"/>
          <w:szCs w:val="28"/>
          <w:highlight w:val="none"/>
        </w:rPr>
        <w:t>课题经费额度</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不超过</w:t>
      </w:r>
      <w:r>
        <w:rPr>
          <w:rFonts w:asciiTheme="minorEastAsia" w:hAnsiTheme="minorEastAsia"/>
          <w:sz w:val="28"/>
          <w:szCs w:val="28"/>
          <w:highlight w:val="none"/>
        </w:rPr>
        <w:t>2</w:t>
      </w:r>
      <w:r>
        <w:rPr>
          <w:rFonts w:hint="eastAsia" w:asciiTheme="minorEastAsia" w:hAnsiTheme="minorEastAsia"/>
          <w:sz w:val="28"/>
          <w:szCs w:val="28"/>
          <w:highlight w:val="none"/>
          <w:lang w:val="en-US" w:eastAsia="zh-CN"/>
        </w:rPr>
        <w:t>0</w:t>
      </w:r>
      <w:r>
        <w:rPr>
          <w:rFonts w:hint="eastAsia" w:asciiTheme="minorEastAsia" w:hAnsiTheme="minorEastAsia"/>
          <w:sz w:val="28"/>
          <w:szCs w:val="28"/>
          <w:highlight w:val="none"/>
        </w:rPr>
        <w:t>万</w:t>
      </w:r>
    </w:p>
    <w:p>
      <w:pPr>
        <w:spacing w:line="360" w:lineRule="auto"/>
        <w:jc w:val="left"/>
        <w:rPr>
          <w:rFonts w:asciiTheme="minorEastAsia" w:hAnsiTheme="minorEastAsia"/>
          <w:sz w:val="28"/>
          <w:szCs w:val="28"/>
          <w:highlight w:val="none"/>
        </w:rPr>
      </w:pPr>
      <w:r>
        <w:rPr>
          <w:rFonts w:hint="eastAsia" w:asciiTheme="minorEastAsia" w:hAnsiTheme="minorEastAsia"/>
          <w:sz w:val="28"/>
          <w:szCs w:val="28"/>
          <w:highlight w:val="none"/>
        </w:rPr>
        <w:t>计划年限：</w:t>
      </w:r>
      <w:r>
        <w:rPr>
          <w:rFonts w:asciiTheme="minorEastAsia" w:hAnsiTheme="minorEastAsia"/>
          <w:sz w:val="28"/>
          <w:szCs w:val="28"/>
          <w:highlight w:val="none"/>
        </w:rPr>
        <w:t xml:space="preserve"> 1</w:t>
      </w:r>
      <w:r>
        <w:rPr>
          <w:rFonts w:hint="eastAsia" w:asciiTheme="minorEastAsia" w:hAnsiTheme="minorEastAsia"/>
          <w:sz w:val="28"/>
          <w:szCs w:val="28"/>
          <w:highlight w:val="none"/>
        </w:rPr>
        <w:t>年</w:t>
      </w:r>
    </w:p>
    <w:p>
      <w:pPr>
        <w:rPr>
          <w:highlight w:val="none"/>
        </w:rPr>
      </w:pPr>
    </w:p>
    <w:p>
      <w:pPr>
        <w:spacing w:before="156" w:beforeLines="50" w:after="156" w:afterLines="50" w:line="360" w:lineRule="auto"/>
        <w:jc w:val="left"/>
        <w:rPr>
          <w:rFonts w:ascii="黑体" w:hAnsi="黑体" w:eastAsia="黑体"/>
          <w:sz w:val="28"/>
          <w:szCs w:val="28"/>
        </w:rPr>
      </w:pPr>
      <w:r>
        <w:rPr>
          <w:rFonts w:hint="eastAsia" w:ascii="黑体" w:hAnsi="黑体" w:eastAsia="黑体"/>
          <w:sz w:val="28"/>
          <w:szCs w:val="28"/>
        </w:rPr>
        <w:t>二、 课题申请及有关要求</w:t>
      </w:r>
    </w:p>
    <w:p>
      <w:pPr>
        <w:spacing w:line="360" w:lineRule="auto"/>
        <w:jc w:val="left"/>
        <w:rPr>
          <w:rFonts w:asciiTheme="minorEastAsia" w:hAnsiTheme="minorEastAsia"/>
          <w:b/>
          <w:sz w:val="28"/>
          <w:szCs w:val="28"/>
        </w:rPr>
      </w:pPr>
      <w:r>
        <w:rPr>
          <w:rFonts w:hint="eastAsia" w:asciiTheme="minorEastAsia" w:hAnsiTheme="minorEastAsia"/>
          <w:b/>
          <w:sz w:val="28"/>
          <w:szCs w:val="28"/>
        </w:rPr>
        <w:t>（一）接受具备下列条件研究课题的申请</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1.符合《指南》资助范围的研究。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2.学术思想新颖，创新性明显，立论根据充分，研究目标明确，研究内容具体，研究方法和技术路线合理、可行，经费预算科学合理，近期可取得重要进展的研究。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3.申请者与课题组成员应具备实施该课题的研究能力和可靠的时间保证，并具有基本的研究条件;申请者必须是课题的实际主持人。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4.遵守科学道德，以严谨的科学作风和实事求是的科学精神撰写申请书。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5.不涉及知识产权纠纷等问题。</w:t>
      </w:r>
    </w:p>
    <w:p>
      <w:pPr>
        <w:spacing w:line="360" w:lineRule="auto"/>
        <w:jc w:val="left"/>
        <w:rPr>
          <w:rFonts w:asciiTheme="minorEastAsia" w:hAnsiTheme="minorEastAsia"/>
          <w:b/>
          <w:sz w:val="28"/>
          <w:szCs w:val="28"/>
        </w:rPr>
      </w:pPr>
      <w:r>
        <w:rPr>
          <w:rFonts w:hint="eastAsia" w:asciiTheme="minorEastAsia" w:hAnsiTheme="minorEastAsia"/>
          <w:b/>
          <w:sz w:val="28"/>
          <w:szCs w:val="28"/>
        </w:rPr>
        <w:t>（二）指南文件发布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《指南》在铁科院院网上发布。</w:t>
      </w:r>
    </w:p>
    <w:p>
      <w:pPr>
        <w:spacing w:line="360" w:lineRule="auto"/>
        <w:jc w:val="left"/>
        <w:rPr>
          <w:rFonts w:asciiTheme="minorEastAsia" w:hAnsiTheme="minorEastAsia"/>
          <w:b/>
          <w:sz w:val="28"/>
          <w:szCs w:val="28"/>
        </w:rPr>
      </w:pPr>
      <w:r>
        <w:rPr>
          <w:rFonts w:hint="eastAsia" w:asciiTheme="minorEastAsia" w:hAnsiTheme="minorEastAsia"/>
          <w:b/>
          <w:sz w:val="28"/>
          <w:szCs w:val="28"/>
        </w:rPr>
        <w:t>（三）课题承担单位的确定</w:t>
      </w:r>
    </w:p>
    <w:p>
      <w:pPr>
        <w:spacing w:line="360" w:lineRule="auto"/>
        <w:jc w:val="left"/>
        <w:rPr>
          <w:rFonts w:hint="eastAsia" w:asciiTheme="minorEastAsia" w:hAnsiTheme="minorEastAsia"/>
          <w:sz w:val="28"/>
          <w:szCs w:val="28"/>
          <w:highlight w:val="none"/>
        </w:rPr>
      </w:pPr>
      <w:r>
        <w:rPr>
          <w:rFonts w:hint="eastAsia" w:asciiTheme="minorEastAsia" w:hAnsiTheme="minorEastAsia"/>
          <w:sz w:val="24"/>
          <w:szCs w:val="24"/>
        </w:rPr>
        <w:t>　　</w:t>
      </w:r>
      <w:r>
        <w:rPr>
          <w:rFonts w:hint="eastAsia" w:asciiTheme="minorEastAsia" w:hAnsiTheme="minorEastAsia"/>
          <w:sz w:val="28"/>
          <w:szCs w:val="28"/>
          <w:highlight w:val="none"/>
        </w:rPr>
        <w:t>有意承担课题的申请人与我实验室联系，以报名表方式提出申请，并附营业执照或社会团体登记证书或事业单位法人证书或其他类型主体资格证书复印件(加盖公章)等。实验室学术委员会对课题申请书进行评审，按照择优支持的原则确定资助对象。必要时申请者须按规定参加答辩。</w:t>
      </w:r>
    </w:p>
    <w:p>
      <w:pPr>
        <w:spacing w:line="360" w:lineRule="auto"/>
        <w:jc w:val="left"/>
        <w:rPr>
          <w:rFonts w:asciiTheme="minorEastAsia" w:hAnsiTheme="minorEastAsia"/>
          <w:b/>
          <w:sz w:val="28"/>
          <w:szCs w:val="28"/>
        </w:rPr>
      </w:pPr>
      <w:r>
        <w:rPr>
          <w:rFonts w:hint="eastAsia" w:asciiTheme="minorEastAsia" w:hAnsiTheme="minorEastAsia"/>
          <w:b/>
          <w:sz w:val="28"/>
          <w:szCs w:val="28"/>
        </w:rPr>
        <w:t>（四）课题实施</w:t>
      </w:r>
    </w:p>
    <w:p>
      <w:pPr>
        <w:spacing w:line="360" w:lineRule="auto"/>
        <w:jc w:val="left"/>
        <w:rPr>
          <w:rFonts w:hint="eastAsia" w:asciiTheme="minorEastAsia" w:hAnsiTheme="minorEastAsia"/>
          <w:sz w:val="28"/>
          <w:szCs w:val="28"/>
          <w:highlight w:val="none"/>
        </w:rPr>
      </w:pPr>
      <w:r>
        <w:rPr>
          <w:rFonts w:hint="eastAsia" w:asciiTheme="minorEastAsia" w:hAnsiTheme="minorEastAsia"/>
          <w:sz w:val="24"/>
          <w:szCs w:val="24"/>
        </w:rPr>
        <w:t>　</w:t>
      </w:r>
      <w:r>
        <w:rPr>
          <w:rFonts w:hint="eastAsia" w:asciiTheme="minorEastAsia" w:hAnsiTheme="minorEastAsia"/>
          <w:sz w:val="28"/>
          <w:szCs w:val="28"/>
          <w:highlight w:val="none"/>
        </w:rPr>
        <w:t>　确定承担单位后，按国家经费管理的有关规定和本实验室开放课题项目管理办法签订协议，承担单位按照合同约定组织课题研究工作，课题经费的使用要符合相关规定。</w:t>
      </w:r>
    </w:p>
    <w:p>
      <w:pPr>
        <w:spacing w:line="360" w:lineRule="auto"/>
        <w:jc w:val="left"/>
        <w:rPr>
          <w:rFonts w:asciiTheme="minorEastAsia" w:hAnsiTheme="minorEastAsia"/>
          <w:b/>
          <w:sz w:val="28"/>
          <w:szCs w:val="28"/>
        </w:rPr>
      </w:pPr>
      <w:r>
        <w:rPr>
          <w:rFonts w:hint="eastAsia" w:asciiTheme="minorEastAsia" w:hAnsiTheme="minorEastAsia"/>
          <w:b/>
          <w:sz w:val="28"/>
          <w:szCs w:val="28"/>
        </w:rPr>
        <w:t>（五）课题结题和成果标注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1.研究报告中应包括该项技术综合评述以及应用建议。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2.研究课题完成后，申请人需认真填写课题结题报告，进行验收并存档，并作为下一期申请的依据之一。</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3.研究课题的有关论文、专著、成果评议鉴定资料等，均应标注：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中文：动车组和机车牵引与控制国家重点实验室，北京，100081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英文：State Key Laboratory for Traction and Control System of EMU and  Locomotive, China, 100081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4.研究课题所取得的成果（包括收集到的资料、研究报告、相应课题内开发的软件及其测试检验报告等）归实验室及研究者共同所有。</w:t>
      </w:r>
    </w:p>
    <w:p>
      <w:pPr>
        <w:spacing w:line="360" w:lineRule="auto"/>
        <w:jc w:val="left"/>
        <w:rPr>
          <w:rFonts w:asciiTheme="minorEastAsia" w:hAnsiTheme="minorEastAsia"/>
          <w:b/>
          <w:sz w:val="28"/>
          <w:szCs w:val="28"/>
        </w:rPr>
      </w:pPr>
      <w:r>
        <w:rPr>
          <w:rFonts w:hint="eastAsia" w:asciiTheme="minorEastAsia" w:hAnsiTheme="minorEastAsia"/>
          <w:b/>
          <w:sz w:val="28"/>
          <w:szCs w:val="28"/>
        </w:rPr>
        <w:t>（六）其他要求及有关说明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1. 鼓励获得课题资助的申请者来实验室开展研究工作或派研究生到本实验室工作，实验室将提供软硬件和相关数据的支持。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2. 本次申报不收取保证金。</w:t>
      </w:r>
    </w:p>
    <w:p>
      <w:pPr>
        <w:spacing w:before="156" w:beforeLines="50" w:after="156" w:afterLines="50" w:line="360" w:lineRule="auto"/>
        <w:jc w:val="left"/>
        <w:rPr>
          <w:rFonts w:ascii="黑体" w:hAnsi="黑体" w:eastAsia="黑体"/>
          <w:sz w:val="28"/>
          <w:szCs w:val="28"/>
        </w:rPr>
      </w:pPr>
      <w:r>
        <w:rPr>
          <w:rFonts w:hint="eastAsia" w:ascii="黑体" w:hAnsi="黑体" w:eastAsia="黑体"/>
          <w:sz w:val="28"/>
          <w:szCs w:val="28"/>
        </w:rPr>
        <w:t>三、 主要时间节点</w:t>
      </w:r>
    </w:p>
    <w:p>
      <w:pPr>
        <w:spacing w:before="156" w:beforeLines="50" w:after="156" w:afterLines="50" w:line="360" w:lineRule="auto"/>
        <w:ind w:firstLine="560" w:firstLineChars="200"/>
        <w:jc w:val="left"/>
        <w:rPr>
          <w:rFonts w:hint="eastAsia" w:asciiTheme="minorEastAsia" w:hAnsiTheme="minorEastAsia"/>
          <w:sz w:val="28"/>
          <w:szCs w:val="28"/>
          <w:highlight w:val="none"/>
        </w:rPr>
      </w:pPr>
      <w:r>
        <w:rPr>
          <w:rFonts w:hint="eastAsia" w:asciiTheme="minorEastAsia" w:hAnsiTheme="minorEastAsia"/>
          <w:sz w:val="28"/>
          <w:szCs w:val="28"/>
          <w:highlight w:val="none"/>
        </w:rPr>
        <w:t>申请者应在2020年1月3日以前将《课题申请书》（附件2）电子版发送到指定邮箱，2020年1月10日17:00以前将《课题申请书》一式4份（加盖单位公章的原件）送达（或邮寄到）动车组和机车牵引与控制国家重点实验室秘书处。申请书装入一个封套内，并在封口处加盖投标人公章加以密封。封套正面按申请书封面填写有关内容。</w:t>
      </w:r>
    </w:p>
    <w:p>
      <w:pPr>
        <w:spacing w:before="156" w:beforeLines="50" w:after="156" w:afterLines="50" w:line="360" w:lineRule="auto"/>
        <w:jc w:val="left"/>
        <w:rPr>
          <w:rFonts w:ascii="黑体" w:hAnsi="黑体" w:eastAsia="黑体"/>
          <w:sz w:val="28"/>
          <w:szCs w:val="28"/>
        </w:rPr>
      </w:pPr>
      <w:r>
        <w:rPr>
          <w:rFonts w:hint="eastAsia" w:ascii="黑体" w:hAnsi="黑体" w:eastAsia="黑体"/>
          <w:sz w:val="28"/>
          <w:szCs w:val="28"/>
        </w:rPr>
        <w:t>四、实验室秘书处联系方式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地  址： 北京市海淀区大柳树路2号机辆所301房间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邮  编：100081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传  真：010-51849263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联系人：刘爽 010-51874242        宋冠群 010-51849363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rPr>
        <w:t>邮箱：liushuang@rails.cn</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9"/>
    <w:rsid w:val="00AB150E"/>
    <w:rsid w:val="00CC5379"/>
    <w:rsid w:val="01942BB3"/>
    <w:rsid w:val="03DA4DB3"/>
    <w:rsid w:val="067371A2"/>
    <w:rsid w:val="0CDA713A"/>
    <w:rsid w:val="0FFB486D"/>
    <w:rsid w:val="10894405"/>
    <w:rsid w:val="11F10D7D"/>
    <w:rsid w:val="12A5393F"/>
    <w:rsid w:val="12C26651"/>
    <w:rsid w:val="15A93345"/>
    <w:rsid w:val="210539B9"/>
    <w:rsid w:val="249959A9"/>
    <w:rsid w:val="251F0176"/>
    <w:rsid w:val="25440A11"/>
    <w:rsid w:val="270F3059"/>
    <w:rsid w:val="29BD1E5A"/>
    <w:rsid w:val="2BC2686F"/>
    <w:rsid w:val="2D8E3667"/>
    <w:rsid w:val="2EC412D7"/>
    <w:rsid w:val="33880E6E"/>
    <w:rsid w:val="343368D2"/>
    <w:rsid w:val="34B94157"/>
    <w:rsid w:val="35623502"/>
    <w:rsid w:val="36E65AB5"/>
    <w:rsid w:val="3735402F"/>
    <w:rsid w:val="379839F0"/>
    <w:rsid w:val="3A1F2606"/>
    <w:rsid w:val="3C8A4782"/>
    <w:rsid w:val="42C166E3"/>
    <w:rsid w:val="44C94855"/>
    <w:rsid w:val="45B33D68"/>
    <w:rsid w:val="4600601B"/>
    <w:rsid w:val="4F294843"/>
    <w:rsid w:val="627148E1"/>
    <w:rsid w:val="691C5C4E"/>
    <w:rsid w:val="6D1756BB"/>
    <w:rsid w:val="718F1725"/>
    <w:rsid w:val="72A3721D"/>
    <w:rsid w:val="746B5B9A"/>
    <w:rsid w:val="751001BE"/>
    <w:rsid w:val="7586085C"/>
    <w:rsid w:val="7662034C"/>
    <w:rsid w:val="768B35C0"/>
    <w:rsid w:val="7C120F25"/>
    <w:rsid w:val="7D46134C"/>
    <w:rsid w:val="7FB3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174</Characters>
  <Lines>1</Lines>
  <Paragraphs>1</Paragraphs>
  <TotalTime>4</TotalTime>
  <ScaleCrop>false</ScaleCrop>
  <LinksUpToDate>false</LinksUpToDate>
  <CharactersWithSpaces>203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2019-05-07T06:49:00Z</dcterms:created>
  <dc:creator>Administrator</dc:creator>
  <cp:lastModifiedBy>Administrator</cp:lastModifiedBy>
  <dcterms:modified xsi:type="dcterms:W3CDTF">2019-12-26T09:54:11Z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